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D5" w:rsidRPr="00DB0B90" w:rsidRDefault="004569D5" w:rsidP="004569D5">
      <w:pPr>
        <w:pStyle w:val="GvdeMetni"/>
        <w:spacing w:before="80" w:line="360" w:lineRule="auto"/>
        <w:ind w:right="22"/>
        <w:jc w:val="center"/>
        <w:rPr>
          <w:sz w:val="20"/>
          <w:szCs w:val="20"/>
        </w:rPr>
      </w:pPr>
      <w:r w:rsidRPr="00DB0B90">
        <w:rPr>
          <w:sz w:val="20"/>
          <w:szCs w:val="20"/>
        </w:rPr>
        <w:t xml:space="preserve">ETİ </w:t>
      </w:r>
      <w:r w:rsidR="00277ADC">
        <w:rPr>
          <w:sz w:val="20"/>
          <w:szCs w:val="20"/>
        </w:rPr>
        <w:t>HOLDİNG ORTAOKULU TÜRKÇE DERSİ 7</w:t>
      </w:r>
      <w:r w:rsidRPr="00DB0B90">
        <w:rPr>
          <w:sz w:val="20"/>
          <w:szCs w:val="20"/>
        </w:rPr>
        <w:t>.SINIF 1.DÖNEM 1.YAZILI SINAVI KONU SORU DAĞILIM TABLOSU</w:t>
      </w:r>
    </w:p>
    <w:p w:rsidR="004569D5" w:rsidRDefault="004569D5" w:rsidP="00B06204">
      <w:pPr>
        <w:pStyle w:val="GvdeMetni"/>
        <w:spacing w:before="80" w:line="360" w:lineRule="auto"/>
        <w:ind w:left="3194" w:right="22" w:hanging="2566"/>
        <w:jc w:val="center"/>
        <w:rPr>
          <w:sz w:val="20"/>
          <w:szCs w:val="20"/>
        </w:rPr>
      </w:pPr>
      <w:r w:rsidRPr="00DB0B90">
        <w:rPr>
          <w:sz w:val="20"/>
          <w:szCs w:val="20"/>
        </w:rPr>
        <w:t>(OKUL GENELİNDE YAPILACAK ORTAK SINAV)</w:t>
      </w:r>
    </w:p>
    <w:tbl>
      <w:tblPr>
        <w:tblStyle w:val="TabloKlavuzu"/>
        <w:tblpPr w:leftFromText="141" w:rightFromText="141" w:vertAnchor="text" w:horzAnchor="page" w:tblpX="973" w:tblpY="122"/>
        <w:tblW w:w="0" w:type="auto"/>
        <w:tblLook w:val="04A0"/>
      </w:tblPr>
      <w:tblGrid>
        <w:gridCol w:w="1854"/>
        <w:gridCol w:w="1999"/>
        <w:gridCol w:w="2928"/>
        <w:gridCol w:w="2507"/>
      </w:tblGrid>
      <w:tr w:rsidR="004569D5" w:rsidTr="00B06204">
        <w:trPr>
          <w:trHeight w:val="809"/>
        </w:trPr>
        <w:tc>
          <w:tcPr>
            <w:tcW w:w="1854" w:type="dxa"/>
          </w:tcPr>
          <w:p w:rsidR="004569D5" w:rsidRPr="00602102" w:rsidRDefault="004569D5" w:rsidP="00B06204">
            <w:pPr>
              <w:pStyle w:val="TableParagraph"/>
              <w:spacing w:line="248" w:lineRule="exact"/>
              <w:ind w:right="96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ÖĞRENME</w:t>
            </w:r>
          </w:p>
          <w:p w:rsidR="004569D5" w:rsidRPr="00602102" w:rsidRDefault="004569D5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pacing w:val="-2"/>
              </w:rPr>
              <w:t>ALANI</w:t>
            </w:r>
          </w:p>
        </w:tc>
        <w:tc>
          <w:tcPr>
            <w:tcW w:w="1999" w:type="dxa"/>
          </w:tcPr>
          <w:p w:rsidR="004569D5" w:rsidRPr="00602102" w:rsidRDefault="004569D5" w:rsidP="00B06204">
            <w:pPr>
              <w:pStyle w:val="TableParagraph"/>
              <w:ind w:left="237" w:right="232" w:hanging="2"/>
              <w:jc w:val="center"/>
              <w:rPr>
                <w:b/>
              </w:rPr>
            </w:pPr>
            <w:r w:rsidRPr="00602102">
              <w:rPr>
                <w:b/>
                <w:spacing w:val="-4"/>
              </w:rPr>
              <w:t xml:space="preserve">ALT </w:t>
            </w:r>
            <w:r w:rsidRPr="00602102">
              <w:rPr>
                <w:b/>
                <w:spacing w:val="-2"/>
              </w:rPr>
              <w:t>ÖĞRENME ALANI</w:t>
            </w:r>
          </w:p>
        </w:tc>
        <w:tc>
          <w:tcPr>
            <w:tcW w:w="2928" w:type="dxa"/>
          </w:tcPr>
          <w:p w:rsidR="004569D5" w:rsidRPr="00602102" w:rsidRDefault="004569D5" w:rsidP="00B06204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KAZANIMLAR</w:t>
            </w:r>
          </w:p>
        </w:tc>
        <w:tc>
          <w:tcPr>
            <w:tcW w:w="2507" w:type="dxa"/>
          </w:tcPr>
          <w:p w:rsidR="004569D5" w:rsidRPr="00602102" w:rsidRDefault="004569D5" w:rsidP="00B06204">
            <w:pPr>
              <w:pStyle w:val="TableParagraph"/>
              <w:ind w:left="11" w:right="2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UYGULANACAK SENARYO</w:t>
            </w:r>
          </w:p>
          <w:p w:rsidR="004569D5" w:rsidRPr="00602102" w:rsidRDefault="00277ADC" w:rsidP="00B06204">
            <w:pPr>
              <w:pStyle w:val="TableParagraph"/>
              <w:spacing w:line="251" w:lineRule="exact"/>
              <w:ind w:left="11" w:right="1"/>
              <w:jc w:val="center"/>
              <w:rPr>
                <w:b/>
              </w:rPr>
            </w:pPr>
            <w:r>
              <w:rPr>
                <w:b/>
              </w:rPr>
              <w:t>(5</w:t>
            </w:r>
            <w:r w:rsidR="004569D5" w:rsidRPr="00602102">
              <w:rPr>
                <w:b/>
              </w:rPr>
              <w:t xml:space="preserve">. </w:t>
            </w:r>
            <w:r w:rsidR="004569D5" w:rsidRPr="00602102">
              <w:rPr>
                <w:b/>
                <w:spacing w:val="-2"/>
              </w:rPr>
              <w:t>SENARYO)</w:t>
            </w:r>
          </w:p>
        </w:tc>
      </w:tr>
      <w:tr w:rsidR="00277ADC" w:rsidTr="00B06204">
        <w:trPr>
          <w:trHeight w:val="523"/>
        </w:trPr>
        <w:tc>
          <w:tcPr>
            <w:tcW w:w="1854" w:type="dxa"/>
            <w:vMerge w:val="restart"/>
          </w:tcPr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7609A1" w:rsidRDefault="007609A1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OKUMA</w:t>
            </w:r>
          </w:p>
        </w:tc>
        <w:tc>
          <w:tcPr>
            <w:tcW w:w="1999" w:type="dxa"/>
            <w:vMerge w:val="restart"/>
          </w:tcPr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SÖZ VARLIĞI</w:t>
            </w:r>
          </w:p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277ADC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277ADC" w:rsidRPr="00277ADC" w:rsidRDefault="00277ADC" w:rsidP="00B06204">
            <w:pPr>
              <w:rPr>
                <w:sz w:val="24"/>
                <w:szCs w:val="24"/>
              </w:rPr>
            </w:pPr>
            <w:r>
              <w:t xml:space="preserve">T.7.3.5. </w:t>
            </w:r>
            <w:proofErr w:type="spellStart"/>
            <w:r>
              <w:t>Bağlamdan</w:t>
            </w:r>
            <w:proofErr w:type="spellEnd"/>
            <w:r>
              <w:t xml:space="preserve"> </w:t>
            </w:r>
            <w:proofErr w:type="spellStart"/>
            <w:r>
              <w:t>hareketle</w:t>
            </w:r>
            <w:proofErr w:type="spellEnd"/>
            <w:r>
              <w:t xml:space="preserve"> </w:t>
            </w:r>
            <w:proofErr w:type="spellStart"/>
            <w:r>
              <w:t>bilmediği</w:t>
            </w:r>
            <w:proofErr w:type="spellEnd"/>
            <w:r>
              <w:t xml:space="preserve"> </w:t>
            </w:r>
            <w:proofErr w:type="spellStart"/>
            <w:r>
              <w:t>kelime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kelime</w:t>
            </w:r>
            <w:proofErr w:type="spellEnd"/>
            <w:r>
              <w:t xml:space="preserve"> </w:t>
            </w:r>
            <w:proofErr w:type="spellStart"/>
            <w:r>
              <w:t>gruplarının</w:t>
            </w:r>
            <w:proofErr w:type="spellEnd"/>
            <w:r>
              <w:t xml:space="preserve"> </w:t>
            </w:r>
            <w:proofErr w:type="spellStart"/>
            <w:r>
              <w:t>anlamını</w:t>
            </w:r>
            <w:proofErr w:type="spellEnd"/>
            <w:r>
              <w:t xml:space="preserve"> </w:t>
            </w:r>
            <w:proofErr w:type="spellStart"/>
            <w:r>
              <w:t>tahmin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. a)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tahmin</w:t>
            </w:r>
            <w:proofErr w:type="spellEnd"/>
            <w:r>
              <w:t xml:space="preserve"> </w:t>
            </w:r>
            <w:proofErr w:type="spellStart"/>
            <w:r>
              <w:t>ettikleri</w:t>
            </w:r>
            <w:proofErr w:type="spellEnd"/>
            <w:r>
              <w:t xml:space="preserve"> </w:t>
            </w:r>
            <w:proofErr w:type="spellStart"/>
            <w:r>
              <w:t>kelime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kelime</w:t>
            </w:r>
            <w:proofErr w:type="spellEnd"/>
            <w:r>
              <w:t xml:space="preserve"> </w:t>
            </w:r>
            <w:proofErr w:type="spellStart"/>
            <w:r>
              <w:t>gruplarını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sözlük</w:t>
            </w:r>
            <w:proofErr w:type="spellEnd"/>
            <w:r>
              <w:t xml:space="preserve">, </w:t>
            </w:r>
            <w:proofErr w:type="spellStart"/>
            <w:r>
              <w:t>atasözleri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deyimler</w:t>
            </w:r>
            <w:proofErr w:type="spellEnd"/>
            <w:r>
              <w:t xml:space="preserve"> </w:t>
            </w:r>
            <w:proofErr w:type="spellStart"/>
            <w:r>
              <w:t>sözlüğü</w:t>
            </w:r>
            <w:proofErr w:type="spellEnd"/>
            <w:r>
              <w:t xml:space="preserve"> vb. </w:t>
            </w:r>
            <w:proofErr w:type="spellStart"/>
            <w:r>
              <w:t>araçları</w:t>
            </w:r>
            <w:proofErr w:type="spellEnd"/>
            <w:r>
              <w:t xml:space="preserve"> </w:t>
            </w:r>
            <w:proofErr w:type="spellStart"/>
            <w:r>
              <w:t>kullanmaları</w:t>
            </w:r>
            <w:proofErr w:type="spellEnd"/>
            <w:r>
              <w:t xml:space="preserve"> </w:t>
            </w:r>
            <w:proofErr w:type="spellStart"/>
            <w:r>
              <w:t>sağlanır</w:t>
            </w:r>
            <w:proofErr w:type="spellEnd"/>
            <w:r>
              <w:t xml:space="preserve">. b)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öğrendiği</w:t>
            </w:r>
            <w:proofErr w:type="spellEnd"/>
            <w:r>
              <w:t xml:space="preserve"> </w:t>
            </w:r>
            <w:proofErr w:type="spellStart"/>
            <w:r>
              <w:t>kelime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kelime</w:t>
            </w:r>
            <w:proofErr w:type="spellEnd"/>
            <w:r>
              <w:t xml:space="preserve"> </w:t>
            </w:r>
            <w:proofErr w:type="spellStart"/>
            <w:r>
              <w:t>gruplarından</w:t>
            </w:r>
            <w:proofErr w:type="spellEnd"/>
            <w:r>
              <w:t xml:space="preserve"> </w:t>
            </w:r>
            <w:proofErr w:type="spellStart"/>
            <w:r>
              <w:t>sözlük</w:t>
            </w:r>
            <w:proofErr w:type="spellEnd"/>
            <w:r>
              <w:t xml:space="preserve"> </w:t>
            </w:r>
            <w:proofErr w:type="spellStart"/>
            <w:r>
              <w:t>oluşturması</w:t>
            </w:r>
            <w:proofErr w:type="spellEnd"/>
            <w:r>
              <w:t xml:space="preserve"> </w:t>
            </w:r>
            <w:proofErr w:type="spellStart"/>
            <w:r>
              <w:t>teşvik</w:t>
            </w:r>
            <w:proofErr w:type="spellEnd"/>
            <w:r>
              <w:t xml:space="preserve"> </w:t>
            </w:r>
            <w:proofErr w:type="spellStart"/>
            <w:r>
              <w:t>edilir</w:t>
            </w:r>
            <w:proofErr w:type="spellEnd"/>
            <w:r>
              <w:t>.</w:t>
            </w:r>
          </w:p>
        </w:tc>
        <w:tc>
          <w:tcPr>
            <w:tcW w:w="2507" w:type="dxa"/>
          </w:tcPr>
          <w:p w:rsidR="00277ADC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277ADC" w:rsidTr="00B06204">
        <w:trPr>
          <w:trHeight w:val="152"/>
        </w:trPr>
        <w:tc>
          <w:tcPr>
            <w:tcW w:w="1854" w:type="dxa"/>
            <w:vMerge/>
          </w:tcPr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277ADC" w:rsidRPr="00277ADC" w:rsidRDefault="00277ADC" w:rsidP="00B06204">
            <w:pPr>
              <w:rPr>
                <w:sz w:val="24"/>
                <w:szCs w:val="24"/>
              </w:rPr>
            </w:pPr>
            <w:r>
              <w:t xml:space="preserve">T.7.3.6. </w:t>
            </w:r>
            <w:proofErr w:type="spellStart"/>
            <w:r>
              <w:t>Deyim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atasözlerinin</w:t>
            </w:r>
            <w:proofErr w:type="spellEnd"/>
            <w:r>
              <w:t xml:space="preserve"> </w:t>
            </w:r>
            <w:proofErr w:type="spellStart"/>
            <w:r>
              <w:t>metne</w:t>
            </w:r>
            <w:proofErr w:type="spellEnd"/>
            <w:r>
              <w:t xml:space="preserve"> </w:t>
            </w:r>
            <w:proofErr w:type="spellStart"/>
            <w:r>
              <w:t>katkısını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 xml:space="preserve">.                                                                                                   </w:t>
            </w:r>
          </w:p>
        </w:tc>
        <w:tc>
          <w:tcPr>
            <w:tcW w:w="2507" w:type="dxa"/>
          </w:tcPr>
          <w:p w:rsidR="00277ADC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277ADC" w:rsidTr="00B06204">
        <w:trPr>
          <w:trHeight w:val="152"/>
        </w:trPr>
        <w:tc>
          <w:tcPr>
            <w:tcW w:w="1854" w:type="dxa"/>
            <w:vMerge/>
          </w:tcPr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28" w:type="dxa"/>
          </w:tcPr>
          <w:p w:rsidR="00277ADC" w:rsidRPr="00277ADC" w:rsidRDefault="00277ADC" w:rsidP="00B06204">
            <w:pPr>
              <w:rPr>
                <w:sz w:val="24"/>
                <w:szCs w:val="24"/>
              </w:rPr>
            </w:pPr>
            <w:r>
              <w:t xml:space="preserve">T.7.3.9. </w:t>
            </w:r>
            <w:proofErr w:type="spellStart"/>
            <w:r>
              <w:t>Çekim</w:t>
            </w:r>
            <w:proofErr w:type="spellEnd"/>
            <w:r>
              <w:t xml:space="preserve"> </w:t>
            </w:r>
            <w:proofErr w:type="spellStart"/>
            <w:r>
              <w:t>eklerinin</w:t>
            </w:r>
            <w:proofErr w:type="spellEnd"/>
            <w:r>
              <w:t xml:space="preserve"> </w:t>
            </w:r>
            <w:proofErr w:type="spellStart"/>
            <w:r>
              <w:t>işlevlerini</w:t>
            </w:r>
            <w:proofErr w:type="spellEnd"/>
            <w:r>
              <w:t xml:space="preserve"> </w:t>
            </w:r>
            <w:proofErr w:type="spellStart"/>
            <w:r>
              <w:t>ayırt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. a) </w:t>
            </w:r>
            <w:proofErr w:type="spellStart"/>
            <w:r>
              <w:t>Fiil</w:t>
            </w:r>
            <w:proofErr w:type="spellEnd"/>
            <w:r>
              <w:t xml:space="preserve"> </w:t>
            </w:r>
            <w:proofErr w:type="spellStart"/>
            <w:r>
              <w:t>çekim</w:t>
            </w:r>
            <w:proofErr w:type="spellEnd"/>
            <w:r>
              <w:t xml:space="preserve"> </w:t>
            </w:r>
            <w:proofErr w:type="spellStart"/>
            <w:r>
              <w:t>ekleri</w:t>
            </w:r>
            <w:proofErr w:type="spellEnd"/>
            <w:r>
              <w:t xml:space="preserve"> (kip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ekleri</w:t>
            </w:r>
            <w:proofErr w:type="spellEnd"/>
            <w:r>
              <w:t xml:space="preserve">)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durulur</w:t>
            </w:r>
            <w:proofErr w:type="spellEnd"/>
            <w:r>
              <w:t xml:space="preserve">. b) </w:t>
            </w:r>
            <w:proofErr w:type="spellStart"/>
            <w:r>
              <w:t>Fiillerde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  <w:r>
              <w:t xml:space="preserve"> </w:t>
            </w:r>
            <w:proofErr w:type="spellStart"/>
            <w:r>
              <w:t>kayması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durulur</w:t>
            </w:r>
            <w:proofErr w:type="spellEnd"/>
            <w:r>
              <w:t>.</w:t>
            </w:r>
          </w:p>
        </w:tc>
        <w:tc>
          <w:tcPr>
            <w:tcW w:w="2507" w:type="dxa"/>
          </w:tcPr>
          <w:p w:rsidR="00277ADC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2</w:t>
            </w:r>
          </w:p>
        </w:tc>
      </w:tr>
      <w:tr w:rsidR="00277ADC" w:rsidTr="00B06204">
        <w:trPr>
          <w:trHeight w:val="152"/>
        </w:trPr>
        <w:tc>
          <w:tcPr>
            <w:tcW w:w="1854" w:type="dxa"/>
            <w:vMerge/>
          </w:tcPr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28" w:type="dxa"/>
          </w:tcPr>
          <w:p w:rsidR="00277ADC" w:rsidRPr="00277ADC" w:rsidRDefault="00277ADC" w:rsidP="00B06204">
            <w:pPr>
              <w:rPr>
                <w:sz w:val="24"/>
                <w:szCs w:val="24"/>
              </w:rPr>
            </w:pPr>
            <w:r>
              <w:t xml:space="preserve">T.7.3.12. </w:t>
            </w:r>
            <w:proofErr w:type="spellStart"/>
            <w:r>
              <w:t>Fiillerin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  <w:r>
              <w:t xml:space="preserve"> </w:t>
            </w:r>
            <w:proofErr w:type="spellStart"/>
            <w:r>
              <w:t>özelliklerini</w:t>
            </w:r>
            <w:proofErr w:type="spellEnd"/>
            <w:r>
              <w:t xml:space="preserve"> </w:t>
            </w:r>
            <w:proofErr w:type="spellStart"/>
            <w:r>
              <w:t>fark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. </w:t>
            </w:r>
            <w:proofErr w:type="spellStart"/>
            <w:r>
              <w:t>İş</w:t>
            </w:r>
            <w:proofErr w:type="spellEnd"/>
            <w:r>
              <w:t xml:space="preserve"> (</w:t>
            </w:r>
            <w:proofErr w:type="spellStart"/>
            <w:r>
              <w:t>kılış</w:t>
            </w:r>
            <w:proofErr w:type="spellEnd"/>
            <w:r>
              <w:t xml:space="preserve">), </w:t>
            </w:r>
            <w:proofErr w:type="spellStart"/>
            <w:r>
              <w:t>oluş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durum </w:t>
            </w:r>
            <w:proofErr w:type="spellStart"/>
            <w:r>
              <w:t>fiillerinin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durulur</w:t>
            </w:r>
            <w:proofErr w:type="spellEnd"/>
            <w:r>
              <w:t>.</w:t>
            </w:r>
          </w:p>
        </w:tc>
        <w:tc>
          <w:tcPr>
            <w:tcW w:w="2507" w:type="dxa"/>
          </w:tcPr>
          <w:p w:rsidR="00277ADC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5A343F" w:rsidTr="00B06204">
        <w:trPr>
          <w:trHeight w:val="152"/>
        </w:trPr>
        <w:tc>
          <w:tcPr>
            <w:tcW w:w="1854" w:type="dxa"/>
            <w:vMerge/>
          </w:tcPr>
          <w:p w:rsidR="005A343F" w:rsidRPr="00602102" w:rsidRDefault="005A343F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277ADC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277ADC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Pr="00602102" w:rsidRDefault="00277ADC" w:rsidP="00B06204">
            <w:pPr>
              <w:pStyle w:val="GvdeMetni"/>
              <w:spacing w:before="80" w:line="360" w:lineRule="auto"/>
              <w:ind w:right="22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ANLAMA</w:t>
            </w:r>
          </w:p>
        </w:tc>
        <w:tc>
          <w:tcPr>
            <w:tcW w:w="2928" w:type="dxa"/>
          </w:tcPr>
          <w:p w:rsidR="005A343F" w:rsidRPr="005A343F" w:rsidRDefault="00277ADC" w:rsidP="00B06204">
            <w:pPr>
              <w:rPr>
                <w:sz w:val="24"/>
                <w:szCs w:val="24"/>
              </w:rPr>
            </w:pPr>
            <w:r>
              <w:t xml:space="preserve">T.7.3.16. </w:t>
            </w:r>
            <w:proofErr w:type="spellStart"/>
            <w:r>
              <w:t>Metnin</w:t>
            </w:r>
            <w:proofErr w:type="spellEnd"/>
            <w:r>
              <w:t xml:space="preserve"> </w:t>
            </w:r>
            <w:proofErr w:type="spellStart"/>
            <w:r>
              <w:t>konusunu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  <w:tc>
          <w:tcPr>
            <w:tcW w:w="2507" w:type="dxa"/>
          </w:tcPr>
          <w:p w:rsidR="005A343F" w:rsidRDefault="005A343F" w:rsidP="00B06204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5A343F" w:rsidTr="00B06204">
        <w:trPr>
          <w:trHeight w:val="152"/>
        </w:trPr>
        <w:tc>
          <w:tcPr>
            <w:tcW w:w="1854" w:type="dxa"/>
            <w:vMerge/>
          </w:tcPr>
          <w:p w:rsidR="005A343F" w:rsidRPr="00602102" w:rsidRDefault="005A343F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A343F" w:rsidRPr="00602102" w:rsidRDefault="005A343F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28" w:type="dxa"/>
          </w:tcPr>
          <w:p w:rsidR="005A343F" w:rsidRPr="00277ADC" w:rsidRDefault="00277ADC" w:rsidP="00B06204">
            <w:pPr>
              <w:rPr>
                <w:sz w:val="24"/>
                <w:szCs w:val="24"/>
              </w:rPr>
            </w:pPr>
            <w:r>
              <w:t xml:space="preserve">T.7.3.19. </w:t>
            </w:r>
            <w:proofErr w:type="spellStart"/>
            <w:r>
              <w:t>Metinle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soruları</w:t>
            </w:r>
            <w:proofErr w:type="spellEnd"/>
            <w:r>
              <w:t xml:space="preserve"> </w:t>
            </w:r>
            <w:proofErr w:type="spellStart"/>
            <w:r>
              <w:t>cevaplar</w:t>
            </w:r>
            <w:proofErr w:type="spellEnd"/>
            <w:r>
              <w:t xml:space="preserve">.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  <w:r>
              <w:t xml:space="preserve"> </w:t>
            </w:r>
            <w:proofErr w:type="spellStart"/>
            <w:r>
              <w:t>ilişkileri</w:t>
            </w:r>
            <w:proofErr w:type="spellEnd"/>
            <w:r>
              <w:t xml:space="preserve"> </w:t>
            </w:r>
            <w:proofErr w:type="spellStart"/>
            <w:r>
              <w:t>kurulur</w:t>
            </w:r>
            <w:proofErr w:type="spellEnd"/>
            <w:r>
              <w:t>.</w:t>
            </w:r>
          </w:p>
        </w:tc>
        <w:tc>
          <w:tcPr>
            <w:tcW w:w="2507" w:type="dxa"/>
          </w:tcPr>
          <w:p w:rsidR="005A343F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2</w:t>
            </w:r>
          </w:p>
        </w:tc>
      </w:tr>
      <w:tr w:rsidR="005A343F" w:rsidTr="00B06204">
        <w:trPr>
          <w:trHeight w:val="1410"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5A343F" w:rsidRPr="00602102" w:rsidRDefault="005A343F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5A343F" w:rsidRPr="00602102" w:rsidRDefault="005A343F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A343F" w:rsidRPr="00277ADC" w:rsidRDefault="00277ADC" w:rsidP="00B06204">
            <w:pPr>
              <w:rPr>
                <w:sz w:val="24"/>
                <w:szCs w:val="24"/>
              </w:rPr>
            </w:pPr>
            <w:r>
              <w:t xml:space="preserve">T.7.3.29.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türlerini</w:t>
            </w:r>
            <w:proofErr w:type="spellEnd"/>
            <w:r>
              <w:t xml:space="preserve"> </w:t>
            </w:r>
            <w:proofErr w:type="spellStart"/>
            <w:r>
              <w:t>ayırt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. a) </w:t>
            </w:r>
            <w:proofErr w:type="spellStart"/>
            <w:r>
              <w:t>Söyleşi</w:t>
            </w:r>
            <w:proofErr w:type="spellEnd"/>
            <w:r>
              <w:t xml:space="preserve">, </w:t>
            </w:r>
            <w:proofErr w:type="spellStart"/>
            <w:r>
              <w:t>biyografi</w:t>
            </w:r>
            <w:proofErr w:type="spellEnd"/>
            <w:r>
              <w:t xml:space="preserve">, </w:t>
            </w:r>
            <w:proofErr w:type="spellStart"/>
            <w:r>
              <w:t>otobiyografi</w:t>
            </w:r>
            <w:proofErr w:type="spellEnd"/>
            <w:r>
              <w:t xml:space="preserve">,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durulur</w:t>
            </w:r>
            <w:proofErr w:type="spellEnd"/>
            <w:r>
              <w:t xml:space="preserve">. b)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türlerine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ayrıntılı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verilmemelidir</w:t>
            </w:r>
            <w:proofErr w:type="spellEnd"/>
            <w:r>
              <w:t xml:space="preserve">.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5A343F" w:rsidRDefault="005A343F" w:rsidP="00B06204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277ADC" w:rsidTr="00B06204">
        <w:trPr>
          <w:trHeight w:val="615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YAZMA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277ADC" w:rsidRPr="00602102" w:rsidRDefault="00277ADC" w:rsidP="00B06204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ALT ÖĞRENME ALANI YOK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C" w:rsidRPr="00277ADC" w:rsidRDefault="00277ADC" w:rsidP="00B06204">
            <w:pPr>
              <w:rPr>
                <w:sz w:val="24"/>
                <w:szCs w:val="24"/>
              </w:rPr>
            </w:pPr>
            <w:r>
              <w:t xml:space="preserve">T.7.4.1. </w:t>
            </w:r>
            <w:proofErr w:type="spellStart"/>
            <w:r>
              <w:t>Şiir</w:t>
            </w:r>
            <w:proofErr w:type="spellEnd"/>
            <w:r>
              <w:t xml:space="preserve"> </w:t>
            </w:r>
            <w:proofErr w:type="spellStart"/>
            <w:r>
              <w:t>yazar</w:t>
            </w:r>
            <w:proofErr w:type="spellEnd"/>
            <w: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DC" w:rsidRDefault="00277ADC" w:rsidP="00B06204">
            <w:pPr>
              <w:widowControl/>
              <w:autoSpaceDE/>
              <w:autoSpaceDN/>
              <w:spacing w:after="200" w:line="276" w:lineRule="auto"/>
              <w:jc w:val="center"/>
            </w:pPr>
            <w:r>
              <w:t>1</w:t>
            </w:r>
          </w:p>
          <w:p w:rsidR="00277ADC" w:rsidRDefault="00277ADC" w:rsidP="00B06204"/>
        </w:tc>
      </w:tr>
      <w:tr w:rsidR="00B06204" w:rsidTr="00E6459E">
        <w:trPr>
          <w:trHeight w:val="390"/>
        </w:trPr>
        <w:tc>
          <w:tcPr>
            <w:tcW w:w="3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204" w:rsidRPr="00602102" w:rsidRDefault="00B06204" w:rsidP="00B06204">
            <w:pPr>
              <w:pStyle w:val="GvdeMetni"/>
              <w:spacing w:before="80" w:line="360" w:lineRule="auto"/>
              <w:ind w:right="22"/>
              <w:rPr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TOPLAM SORU SAYISI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204" w:rsidRDefault="00B06204" w:rsidP="00B0620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</w:t>
            </w:r>
            <w:r w:rsidRPr="00277ADC">
              <w:rPr>
                <w:b/>
                <w:i/>
                <w:sz w:val="20"/>
                <w:szCs w:val="20"/>
              </w:rPr>
              <w:t>10 SORU</w:t>
            </w:r>
          </w:p>
          <w:p w:rsidR="00B06204" w:rsidRDefault="00B06204" w:rsidP="00B06204">
            <w:pPr>
              <w:pStyle w:val="GvdeMetni"/>
              <w:spacing w:before="80" w:line="360" w:lineRule="auto"/>
              <w:ind w:right="22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Sınavlar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açık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uçlu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sorulardan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oluşacaktır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06204" w:rsidRPr="00277ADC" w:rsidRDefault="00B06204" w:rsidP="00B062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6204" w:rsidTr="00B06204">
        <w:trPr>
          <w:trHeight w:val="146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204" w:rsidRPr="00277ADC" w:rsidRDefault="00B06204" w:rsidP="00B06204">
            <w:pPr>
              <w:pStyle w:val="GvdeMetni"/>
              <w:spacing w:before="80" w:line="360" w:lineRule="auto"/>
              <w:ind w:right="22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4569D5" w:rsidRDefault="004569D5" w:rsidP="004569D5">
      <w:pPr>
        <w:pStyle w:val="GvdeMetni"/>
        <w:spacing w:before="80" w:line="360" w:lineRule="auto"/>
        <w:ind w:left="3194" w:right="22" w:hanging="2566"/>
        <w:jc w:val="center"/>
        <w:rPr>
          <w:sz w:val="20"/>
          <w:szCs w:val="20"/>
        </w:rPr>
      </w:pPr>
    </w:p>
    <w:p w:rsidR="00215C8E" w:rsidRDefault="00215C8E"/>
    <w:sectPr w:rsidR="00215C8E" w:rsidSect="0021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7E9"/>
    <w:multiLevelType w:val="hybridMultilevel"/>
    <w:tmpl w:val="72989C06"/>
    <w:lvl w:ilvl="0" w:tplc="2452E73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55FA8"/>
    <w:multiLevelType w:val="hybridMultilevel"/>
    <w:tmpl w:val="1AD23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7EDD"/>
    <w:multiLevelType w:val="hybridMultilevel"/>
    <w:tmpl w:val="493E21DE"/>
    <w:lvl w:ilvl="0" w:tplc="9E34DA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9D5"/>
    <w:rsid w:val="00215C8E"/>
    <w:rsid w:val="00277ADC"/>
    <w:rsid w:val="0045318F"/>
    <w:rsid w:val="004569D5"/>
    <w:rsid w:val="004E770C"/>
    <w:rsid w:val="005A343F"/>
    <w:rsid w:val="00756C84"/>
    <w:rsid w:val="007609A1"/>
    <w:rsid w:val="00B0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569D5"/>
    <w:rPr>
      <w:b/>
      <w:bCs/>
      <w:i/>
      <w:iCs/>
    </w:rPr>
  </w:style>
  <w:style w:type="character" w:customStyle="1" w:styleId="GvdeMetniChar">
    <w:name w:val="Gövde Metni Char"/>
    <w:basedOn w:val="VarsaylanParagrafYazTipi"/>
    <w:link w:val="GvdeMetni"/>
    <w:uiPriority w:val="1"/>
    <w:rsid w:val="004569D5"/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4569D5"/>
  </w:style>
  <w:style w:type="table" w:styleId="TabloKlavuzu">
    <w:name w:val="Table Grid"/>
    <w:basedOn w:val="NormalTablo"/>
    <w:uiPriority w:val="59"/>
    <w:rsid w:val="004569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2023-10-31T17:25:00Z</dcterms:created>
  <dcterms:modified xsi:type="dcterms:W3CDTF">2023-10-31T18:21:00Z</dcterms:modified>
</cp:coreProperties>
</file>